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ascii="Arial" w:hAnsi="Arial" w:cs="Arial"/>
          <w:b/>
        </w:rPr>
      </w:pPr>
      <w:bookmarkStart w:id="0" w:name="OLE_LINK24"/>
      <w:bookmarkStart w:id="1" w:name="OLE_LINK34"/>
      <w:bookmarkStart w:id="2" w:name="OLE_LINK13"/>
      <w:bookmarkStart w:id="3" w:name="OLE_LINK33"/>
      <w:bookmarkStart w:id="4" w:name="OLE_LINK12"/>
      <w:r>
        <w:rPr>
          <w:rFonts w:ascii="Arial" w:hAnsi="Arial" w:cs="Arial"/>
          <w:b/>
        </w:rPr>
        <w:t>3GPP TSG-RAN WG2 Meeting #115 electronic</w:t>
      </w:r>
      <w:r>
        <w:rPr>
          <w:rFonts w:hint="eastAsia" w:ascii="Arial" w:hAnsi="Arial" w:cs="Arial"/>
          <w:b/>
        </w:rPr>
        <w:t xml:space="preserve"> </w:t>
      </w:r>
      <w:r>
        <w:rPr>
          <w:rFonts w:ascii="Arial" w:hAnsi="Arial" w:cs="Arial"/>
          <w:b/>
        </w:rPr>
        <w:t xml:space="preserve">                            R2-2107092</w:t>
      </w:r>
    </w:p>
    <w:p>
      <w:pPr>
        <w:snapToGrid w:val="0"/>
        <w:spacing w:after="0" w:line="240" w:lineRule="auto"/>
        <w:rPr>
          <w:rFonts w:ascii="Arial" w:hAnsi="Arial" w:cs="Arial"/>
          <w:b/>
        </w:rPr>
      </w:pPr>
      <w:r>
        <w:rPr>
          <w:rFonts w:ascii="Arial" w:hAnsi="Arial" w:cs="Arial"/>
          <w:b/>
        </w:rPr>
        <w:t>Online, August 9th – 27th,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positioning in RRC INACTIVE state</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3</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At RAN2#114-e meeting, the following agreements were made on positioning in RRC_INACTIVE state [1].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Agreements:</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Any uplink LCS or LPP message can be transported in RRC_INACTIVE from RAN2 perspective.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Follow Rel-17 SDT framework for INACTIVE UL and DL positioning:</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w:t>
            </w:r>
            <w:r>
              <w:rPr>
                <w:rFonts w:ascii="Times New Roman" w:hAnsi="Times New Roman" w:eastAsia="宋体"/>
                <w:color w:val="000000"/>
                <w:sz w:val="20"/>
                <w:szCs w:val="20"/>
              </w:rPr>
              <w:tab/>
            </w:r>
            <w:r>
              <w:rPr>
                <w:rFonts w:ascii="Times New Roman" w:hAnsi="Times New Roman" w:eastAsia="宋体"/>
                <w:color w:val="000000"/>
                <w:sz w:val="20"/>
                <w:szCs w:val="20"/>
              </w:rPr>
              <w:t xml:space="preserve">If the UE initiated data transmission using UL SDT, the network can send DL LCS, LPP message and RRC message (e.g. to configure SRS (TBD on what message is used), if UL positioning supported) to the UE.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w:t>
            </w:r>
            <w:r>
              <w:rPr>
                <w:rFonts w:ascii="Times New Roman" w:hAnsi="Times New Roman" w:eastAsia="宋体"/>
                <w:color w:val="000000"/>
                <w:sz w:val="20"/>
                <w:szCs w:val="20"/>
              </w:rPr>
              <w:tab/>
            </w:r>
            <w:r>
              <w:rPr>
                <w:rFonts w:ascii="Times New Roman" w:hAnsi="Times New Roman" w:eastAsia="宋体"/>
                <w:color w:val="000000"/>
                <w:sz w:val="20"/>
                <w:szCs w:val="20"/>
              </w:rPr>
              <w:t>Otherwise, if UE did not initiate UL SDT, rely on legacy operation, i.e. t</w:t>
            </w:r>
            <w:bookmarkStart w:id="6" w:name="_GoBack"/>
            <w:bookmarkEnd w:id="6"/>
            <w:r>
              <w:rPr>
                <w:rFonts w:ascii="Times New Roman" w:hAnsi="Times New Roman" w:eastAsia="宋体"/>
                <w:color w:val="000000"/>
                <w:sz w:val="20"/>
                <w:szCs w:val="20"/>
              </w:rPr>
              <w:t xml:space="preserve">he network shall transition the UE to RRC_CONNECTED, e.g. based on RAN paging.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Agreements:</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Exposure of the RRC state of the UE to the LPP layer of the UE for RRC_INACTIVE UL and DL positioning will not be specified.  This does not exclude cross-layer behaviour in implementations.</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The RRC state of the UE is not exposed to the LMF for INACTIVE UL and DL positioning.</w:t>
            </w:r>
          </w:p>
        </w:tc>
      </w:tr>
    </w:tbl>
    <w:p>
      <w:pPr>
        <w:adjustRightInd w:val="0"/>
        <w:snapToGrid w:val="0"/>
        <w:spacing w:before="180" w:beforeLines="50" w:after="180" w:afterLines="50" w:line="240" w:lineRule="auto"/>
        <w:jc w:val="both"/>
        <w:rPr>
          <w:sz w:val="20"/>
          <w:szCs w:val="20"/>
        </w:rPr>
      </w:pPr>
      <w:r>
        <w:rPr>
          <w:rFonts w:ascii="Times New Roman" w:hAnsi="Times New Roman" w:eastAsia="宋体"/>
          <w:color w:val="000000"/>
          <w:sz w:val="20"/>
          <w:szCs w:val="20"/>
        </w:rPr>
        <w:t>The intention of this contribution is to share our views on DL, UL and DL+UL positioning in RRC_INACTIVE state</w:t>
      </w:r>
      <w:r>
        <w:rPr>
          <w:rFonts w:ascii="Times New Roman" w:hAnsi="Times New Roman" w:eastAsia="宋体"/>
          <w:sz w:val="20"/>
          <w:szCs w:val="20"/>
          <w:lang w:val="en-GB" w:eastAsia="en-GB"/>
        </w:rPr>
        <w:t>.</w:t>
      </w:r>
    </w:p>
    <w:bookmarkEnd w:id="5"/>
    <w:p>
      <w:pPr>
        <w:pStyle w:val="2"/>
        <w:snapToGrid w:val="0"/>
        <w:spacing w:before="120" w:after="180" w:afterLines="50"/>
        <w:ind w:left="431" w:hanging="431"/>
        <w:jc w:val="both"/>
        <w:rPr>
          <w:sz w:val="28"/>
          <w:lang w:val="en-US"/>
        </w:rPr>
      </w:pPr>
      <w:r>
        <w:rPr>
          <w:sz w:val="28"/>
          <w:lang w:val="en-US"/>
        </w:rPr>
        <w:t>Discussion</w:t>
      </w:r>
    </w:p>
    <w:p>
      <w:pPr>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sz w:val="20"/>
          <w:szCs w:val="20"/>
          <w:lang w:val="en-GB"/>
        </w:rPr>
        <w:t xml:space="preserve">According to the </w:t>
      </w:r>
      <w:r>
        <w:rPr>
          <w:rFonts w:hint="eastAsia" w:ascii="Times New Roman" w:hAnsi="Times New Roman"/>
          <w:sz w:val="20"/>
          <w:szCs w:val="20"/>
          <w:lang w:val="en-GB"/>
        </w:rPr>
        <w:t>discussion</w:t>
      </w:r>
      <w:r>
        <w:rPr>
          <w:rFonts w:ascii="Times New Roman" w:hAnsi="Times New Roman"/>
          <w:sz w:val="20"/>
          <w:szCs w:val="20"/>
          <w:lang w:val="en-GB"/>
        </w:rPr>
        <w:t xml:space="preserve"> during RAN2#114-e meeting [2], there are many potential issues to be discussed and determined for positioning in </w:t>
      </w:r>
      <w:r>
        <w:rPr>
          <w:rFonts w:ascii="Times New Roman" w:hAnsi="Times New Roman" w:eastAsia="宋体"/>
          <w:color w:val="000000"/>
          <w:sz w:val="20"/>
          <w:szCs w:val="20"/>
        </w:rPr>
        <w:t xml:space="preserve">RRC_INACTIVE state. In the subsequent sections, we provide our views on those aspects. </w:t>
      </w:r>
    </w:p>
    <w:p>
      <w:pPr>
        <w:pStyle w:val="4"/>
        <w:snapToGrid w:val="0"/>
        <w:spacing w:before="100" w:beforeAutospacing="1" w:after="100" w:afterAutospacing="1" w:line="240" w:lineRule="auto"/>
        <w:rPr>
          <w:rFonts w:ascii="Times New Roman" w:hAnsi="Times New Roman"/>
          <w:b/>
          <w:bCs/>
          <w:sz w:val="21"/>
          <w:szCs w:val="21"/>
          <w:u w:val="single"/>
        </w:rPr>
      </w:pPr>
      <w:r>
        <w:rPr>
          <w:rFonts w:ascii="Times New Roman" w:hAnsi="Times New Roman"/>
          <w:b/>
          <w:bCs/>
          <w:sz w:val="21"/>
          <w:szCs w:val="21"/>
          <w:u w:val="single"/>
        </w:rPr>
        <w:t>Positioning methods supported in RRC_INACTIVE</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It is well known that support of positioning in RRC_INACTICE is beneficial to reduce positioning latency</w:t>
      </w:r>
      <w:r>
        <w:rPr>
          <w:rFonts w:hint="eastAsia" w:ascii="Times New Roman" w:hAnsi="Times New Roman"/>
          <w:sz w:val="20"/>
          <w:szCs w:val="20"/>
        </w:rPr>
        <w:t xml:space="preserve"> and increase power efficiency</w:t>
      </w:r>
      <w:r>
        <w:rPr>
          <w:rFonts w:ascii="Times New Roman" w:hAnsi="Times New Roman"/>
          <w:sz w:val="20"/>
          <w:szCs w:val="20"/>
          <w:lang w:val="en-GB"/>
        </w:rPr>
        <w:t xml:space="preserve">. Thus, it is better to support all positioning methods in RRC_INACTICE in the case that the time budget is allowed, including RAN-independent positioning methods and all RAN-dependent positioning method containing ECID-positioning, UL/DL+UL positioning. </w:t>
      </w:r>
    </w:p>
    <w:p>
      <w:p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lang w:val="en-GB"/>
        </w:rPr>
        <w:t>I</w:t>
      </w:r>
      <w:r>
        <w:rPr>
          <w:rFonts w:ascii="Times New Roman" w:hAnsi="Times New Roman"/>
          <w:sz w:val="20"/>
          <w:szCs w:val="20"/>
          <w:lang w:val="en-GB"/>
        </w:rPr>
        <w:t>t is noted that, UL and DL+UL NR positioning methods are second priority in WI, thus it can be discussed and specified following by DL positioning methods.</w:t>
      </w:r>
    </w:p>
    <w:p>
      <w:pPr>
        <w:snapToGrid w:val="0"/>
        <w:spacing w:before="180" w:beforeLines="50" w:after="180" w:afterLines="50" w:line="240" w:lineRule="auto"/>
        <w:jc w:val="both"/>
        <w:rPr>
          <w:rFonts w:ascii="Times New Roman" w:hAnsi="Times New Roman"/>
          <w:b/>
          <w:i/>
          <w:sz w:val="20"/>
          <w:szCs w:val="20"/>
          <w:lang w:val="en-GB"/>
        </w:rPr>
      </w:pPr>
      <w:r>
        <w:rPr>
          <w:rFonts w:ascii="Times New Roman" w:hAnsi="Times New Roman"/>
          <w:b/>
          <w:i/>
          <w:sz w:val="20"/>
          <w:szCs w:val="20"/>
          <w:lang w:val="en-GB"/>
        </w:rPr>
        <w:t>Proposal 1: If RAN2 time budget is allowed, both RAT-independent positioning methods and RAT-dependent positioning method including ECID-positioning, UL/DL+UL positioning can be specified.</w:t>
      </w:r>
    </w:p>
    <w:p>
      <w:pPr>
        <w:snapToGrid w:val="0"/>
        <w:spacing w:before="180" w:beforeLines="50" w:after="180" w:afterLines="50" w:line="240" w:lineRule="auto"/>
        <w:jc w:val="both"/>
        <w:rPr>
          <w:b/>
          <w:u w:val="single"/>
        </w:rPr>
      </w:pPr>
    </w:p>
    <w:p>
      <w:pPr>
        <w:pStyle w:val="4"/>
        <w:snapToGrid w:val="0"/>
        <w:spacing w:before="100" w:beforeAutospacing="1" w:after="100" w:afterAutospacing="1" w:line="240" w:lineRule="auto"/>
        <w:rPr>
          <w:rFonts w:ascii="Times New Roman" w:hAnsi="Times New Roman"/>
          <w:b/>
          <w:sz w:val="21"/>
          <w:szCs w:val="21"/>
          <w:u w:val="single"/>
        </w:rPr>
      </w:pPr>
      <w:r>
        <w:rPr>
          <w:rFonts w:ascii="Times New Roman" w:hAnsi="Times New Roman"/>
          <w:b/>
          <w:sz w:val="21"/>
          <w:szCs w:val="21"/>
          <w:u w:val="single"/>
        </w:rPr>
        <w:t>Selection SDT vs non-SDT</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In RAN2#114e meeting, some companies proposed that the LPP layer shall instruct the lower layer to employ which RRC state to transmit the measurement report or the location estimate. </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However, in SDT agenda, it has been agreed that the selection between SDT and non-SDT depends on the data volume and RSRP. That is, the final decision whether UE is going to SDT or non-SDT is up to UE at AS layers instead of NAS layer. Thus, there is no need to further discuss this issue in positioning agenda, the procedure agreed in SDT agenda can be completely reused. </w:t>
      </w:r>
    </w:p>
    <w:p>
      <w:pPr>
        <w:snapToGrid w:val="0"/>
        <w:spacing w:before="180" w:beforeLines="50" w:after="180" w:afterLines="50" w:line="240" w:lineRule="auto"/>
        <w:jc w:val="both"/>
        <w:rPr>
          <w:rFonts w:ascii="Times New Roman" w:hAnsi="Times New Roman"/>
          <w:b/>
          <w:i/>
          <w:sz w:val="20"/>
          <w:szCs w:val="20"/>
          <w:lang w:val="en-GB"/>
        </w:rPr>
      </w:pPr>
      <w:r>
        <w:rPr>
          <w:rFonts w:ascii="Times New Roman" w:hAnsi="Times New Roman"/>
          <w:b/>
          <w:i/>
          <w:sz w:val="20"/>
          <w:szCs w:val="20"/>
          <w:lang w:val="en-GB"/>
        </w:rPr>
        <w:t xml:space="preserve">Observation 1: There is no need to further discuss the selection between SDT and non-SDT for </w:t>
      </w:r>
      <w:r>
        <w:rPr>
          <w:rFonts w:hint="eastAsia" w:ascii="Times New Roman" w:hAnsi="Times New Roman"/>
          <w:b/>
          <w:i/>
          <w:sz w:val="20"/>
          <w:szCs w:val="20"/>
        </w:rPr>
        <w:t>loction information</w:t>
      </w:r>
      <w:r>
        <w:rPr>
          <w:rFonts w:ascii="Times New Roman" w:hAnsi="Times New Roman"/>
          <w:b/>
          <w:i/>
          <w:sz w:val="20"/>
          <w:szCs w:val="20"/>
          <w:lang w:val="en-GB"/>
        </w:rPr>
        <w:t xml:space="preserve"> report in positioning agenda, the procedure agreed in SDT agenda can be completely reused.</w:t>
      </w:r>
    </w:p>
    <w:p>
      <w:pPr>
        <w:snapToGrid w:val="0"/>
        <w:spacing w:before="180" w:beforeLines="50" w:after="180" w:afterLines="50" w:line="240" w:lineRule="auto"/>
        <w:jc w:val="both"/>
        <w:rPr>
          <w:rFonts w:ascii="Times New Roman" w:hAnsi="Times New Roman"/>
          <w:b/>
          <w:sz w:val="20"/>
          <w:szCs w:val="20"/>
          <w:lang w:val="en-GB"/>
        </w:rPr>
      </w:pPr>
    </w:p>
    <w:p>
      <w:pPr>
        <w:pStyle w:val="4"/>
        <w:snapToGrid w:val="0"/>
        <w:spacing w:before="100" w:beforeAutospacing="1" w:after="100" w:afterAutospacing="1" w:line="240" w:lineRule="auto"/>
        <w:rPr>
          <w:rFonts w:ascii="Times New Roman" w:hAnsi="Times New Roman"/>
          <w:b/>
          <w:bCs/>
          <w:sz w:val="21"/>
          <w:szCs w:val="21"/>
          <w:u w:val="single"/>
        </w:rPr>
      </w:pPr>
      <w:r>
        <w:rPr>
          <w:rFonts w:ascii="Times New Roman" w:hAnsi="Times New Roman"/>
          <w:b/>
          <w:bCs/>
          <w:sz w:val="21"/>
          <w:szCs w:val="21"/>
          <w:u w:val="single"/>
        </w:rPr>
        <w:t xml:space="preserve">PRS configuration </w:t>
      </w:r>
    </w:p>
    <w:p>
      <w:p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lang w:val="en-GB"/>
        </w:rPr>
        <w:t>D</w:t>
      </w:r>
      <w:r>
        <w:rPr>
          <w:rFonts w:ascii="Times New Roman" w:hAnsi="Times New Roman"/>
          <w:sz w:val="20"/>
          <w:szCs w:val="20"/>
          <w:lang w:val="en-GB"/>
        </w:rPr>
        <w:t>uring the previous discussion, there are following three mechanisms for positioning assistance information delivery.</w:t>
      </w:r>
    </w:p>
    <w:p>
      <w:pPr>
        <w:pStyle w:val="89"/>
        <w:numPr>
          <w:ilvl w:val="0"/>
          <w:numId w:val="3"/>
        </w:numPr>
        <w:snapToGrid w:val="0"/>
        <w:spacing w:before="180" w:beforeLines="50" w:afterLines="50" w:line="240" w:lineRule="auto"/>
        <w:contextualSpacing w:val="0"/>
        <w:jc w:val="both"/>
        <w:rPr>
          <w:sz w:val="20"/>
          <w:lang w:val="en-GB"/>
        </w:rPr>
      </w:pPr>
      <w:r>
        <w:rPr>
          <w:rFonts w:hint="eastAsia"/>
          <w:sz w:val="20"/>
          <w:lang w:val="en-GB"/>
        </w:rPr>
        <w:t>C</w:t>
      </w:r>
      <w:r>
        <w:rPr>
          <w:sz w:val="20"/>
          <w:lang w:val="en-GB"/>
        </w:rPr>
        <w:t>ase1: The network broadcasts posSIB with/without SI request</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Case2: Assistance Information delivery during RRC_CONNECTED</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Case3: Assistance Information delivery during RRC_INACTIVE using SDT in DL</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lang w:val="en-GB"/>
        </w:rPr>
        <w:t xml:space="preserve">Case 1 has been supported in Rel-16 and Case 2 has been confirmed </w:t>
      </w:r>
      <w:r>
        <w:rPr>
          <w:rFonts w:hint="eastAsia" w:ascii="Times New Roman" w:hAnsi="Times New Roman"/>
          <w:sz w:val="20"/>
          <w:szCs w:val="20"/>
        </w:rPr>
        <w:t>during</w:t>
      </w:r>
      <w:r>
        <w:rPr>
          <w:rFonts w:ascii="Times New Roman" w:hAnsi="Times New Roman"/>
          <w:sz w:val="20"/>
          <w:szCs w:val="20"/>
          <w:lang w:val="en-GB"/>
        </w:rPr>
        <w:t xml:space="preserve"> SI in </w:t>
      </w:r>
      <w:r>
        <w:rPr>
          <w:rFonts w:hint="eastAsia" w:ascii="Times New Roman" w:hAnsi="Times New Roman"/>
          <w:sz w:val="20"/>
          <w:szCs w:val="20"/>
        </w:rPr>
        <w:t xml:space="preserve">TR </w:t>
      </w:r>
      <w:r>
        <w:rPr>
          <w:rFonts w:ascii="Times New Roman" w:hAnsi="Times New Roman"/>
          <w:sz w:val="20"/>
          <w:szCs w:val="20"/>
          <w:lang w:val="en-GB"/>
        </w:rPr>
        <w:t xml:space="preserve">38.857. For case 3, we think it should be naturally supported as it has been agreed that </w:t>
      </w:r>
      <w:r>
        <w:rPr>
          <w:rFonts w:ascii="Times New Roman" w:hAnsi="Times New Roman" w:eastAsia="宋体"/>
          <w:color w:val="000000"/>
          <w:sz w:val="20"/>
          <w:szCs w:val="20"/>
        </w:rPr>
        <w:t xml:space="preserve">the network can send DL LCS, LPP message and RRC message to UE in the case when </w:t>
      </w:r>
      <w:r>
        <w:rPr>
          <w:rFonts w:ascii="Times New Roman" w:hAnsi="Times New Roman"/>
          <w:sz w:val="20"/>
          <w:szCs w:val="20"/>
        </w:rPr>
        <w:t xml:space="preserve">the </w:t>
      </w:r>
      <w:r>
        <w:rPr>
          <w:rFonts w:ascii="Times New Roman" w:hAnsi="Times New Roman" w:eastAsia="宋体"/>
          <w:color w:val="000000"/>
          <w:sz w:val="20"/>
          <w:szCs w:val="20"/>
        </w:rPr>
        <w:t xml:space="preserve">UE initiated data transmission using UL SDT. </w:t>
      </w:r>
      <w:r>
        <w:rPr>
          <w:rFonts w:hint="eastAsia" w:ascii="Times New Roman" w:hAnsi="Times New Roman" w:eastAsia="宋体"/>
          <w:color w:val="000000"/>
          <w:sz w:val="20"/>
          <w:szCs w:val="20"/>
        </w:rPr>
        <w:t>As discussed above, LMF is not aware of the UE RRC state.</w:t>
      </w:r>
      <w:r>
        <w:rPr>
          <w:rFonts w:ascii="Times New Roman" w:hAnsi="Times New Roman" w:eastAsia="宋体"/>
          <w:color w:val="000000"/>
          <w:sz w:val="20"/>
          <w:szCs w:val="20"/>
        </w:rPr>
        <w:t xml:space="preserve"> </w:t>
      </w:r>
      <w:r>
        <w:rPr>
          <w:rFonts w:hint="eastAsia" w:ascii="Times New Roman" w:hAnsi="Times New Roman" w:eastAsia="宋体"/>
          <w:color w:val="000000"/>
          <w:sz w:val="20"/>
          <w:szCs w:val="20"/>
        </w:rPr>
        <w:t>Therefore, it</w:t>
      </w:r>
      <w:r>
        <w:rPr>
          <w:rFonts w:ascii="Times New Roman" w:hAnsi="Times New Roman" w:eastAsia="宋体"/>
          <w:color w:val="000000"/>
          <w:sz w:val="20"/>
          <w:szCs w:val="20"/>
        </w:rPr>
        <w:t>’</w:t>
      </w:r>
      <w:r>
        <w:rPr>
          <w:rFonts w:hint="eastAsia" w:ascii="Times New Roman" w:hAnsi="Times New Roman" w:eastAsia="宋体"/>
          <w:color w:val="000000"/>
          <w:sz w:val="20"/>
          <w:szCs w:val="20"/>
        </w:rPr>
        <w:t>s up to serving gNB to decide how to forward NAS message to UE.</w:t>
      </w:r>
    </w:p>
    <w:p>
      <w:pPr>
        <w:snapToGrid w:val="0"/>
        <w:spacing w:before="180" w:beforeLines="50" w:after="180" w:afterLines="50" w:line="240" w:lineRule="auto"/>
        <w:jc w:val="both"/>
        <w:rPr>
          <w:rFonts w:ascii="Times New Roman" w:hAnsi="Times New Roman"/>
          <w:b/>
          <w:i/>
          <w:sz w:val="20"/>
          <w:szCs w:val="20"/>
          <w:lang w:val="en-GB"/>
        </w:rPr>
      </w:pPr>
      <w:r>
        <w:rPr>
          <w:rFonts w:ascii="Times New Roman" w:hAnsi="Times New Roman"/>
          <w:b/>
          <w:i/>
          <w:sz w:val="20"/>
          <w:szCs w:val="20"/>
          <w:lang w:val="en-GB"/>
        </w:rPr>
        <w:t xml:space="preserve">Observation 2: Based on the current agreement, LMF is allowed to </w:t>
      </w:r>
      <w:r>
        <w:rPr>
          <w:rFonts w:hint="eastAsia" w:ascii="Times New Roman" w:hAnsi="Times New Roman"/>
          <w:b/>
          <w:i/>
          <w:sz w:val="20"/>
          <w:szCs w:val="20"/>
        </w:rPr>
        <w:t>deliver</w:t>
      </w:r>
      <w:r>
        <w:rPr>
          <w:rFonts w:ascii="Times New Roman" w:hAnsi="Times New Roman"/>
          <w:b/>
          <w:i/>
          <w:sz w:val="20"/>
          <w:szCs w:val="20"/>
          <w:lang w:val="en-GB"/>
        </w:rPr>
        <w:t xml:space="preserve"> PRS configuration via DL SDT.</w:t>
      </w:r>
    </w:p>
    <w:p>
      <w:pPr>
        <w:snapToGrid w:val="0"/>
        <w:spacing w:after="180" w:afterLines="50" w:line="240" w:lineRule="auto"/>
        <w:jc w:val="both"/>
        <w:rPr>
          <w:rFonts w:ascii="Times New Roman" w:hAnsi="Times New Roman"/>
          <w:b/>
          <w:sz w:val="20"/>
          <w:szCs w:val="20"/>
          <w:lang w:val="en-GB"/>
        </w:rPr>
      </w:pPr>
    </w:p>
    <w:p>
      <w:pPr>
        <w:pStyle w:val="4"/>
        <w:snapToGrid w:val="0"/>
        <w:spacing w:before="100" w:beforeAutospacing="1" w:after="100" w:afterAutospacing="1" w:line="240" w:lineRule="auto"/>
        <w:rPr>
          <w:rFonts w:ascii="Times New Roman" w:hAnsi="Times New Roman"/>
          <w:b/>
          <w:bCs/>
          <w:sz w:val="21"/>
          <w:szCs w:val="21"/>
          <w:u w:val="single"/>
        </w:rPr>
      </w:pPr>
      <w:r>
        <w:rPr>
          <w:rFonts w:ascii="Times New Roman" w:hAnsi="Times New Roman"/>
          <w:b/>
          <w:bCs/>
          <w:sz w:val="21"/>
          <w:szCs w:val="21"/>
          <w:u w:val="single"/>
        </w:rPr>
        <w:t xml:space="preserve">SRS for UL/DL+UL positioning </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In SDT agenda, it has been agreed that CG(configured granted) resources are configured by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sz w:val="20"/>
          <w:szCs w:val="20"/>
          <w:lang w:val="en-GB"/>
        </w:rPr>
        <w:t xml:space="preserve">. Since both SRS configuration and CG resources are for UL transmission during SDT active period, it is naturally to support SRS configurations carried by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sz w:val="20"/>
          <w:szCs w:val="20"/>
          <w:lang w:val="en-GB"/>
        </w:rPr>
        <w:t>. In order to achieve low latency, we propose to configure SRS parameters by Message B or 4 in the case when 2 or 4 step RACH based access is chosen for SDT.</w:t>
      </w:r>
    </w:p>
    <w:p>
      <w:pPr>
        <w:snapToGrid w:val="0"/>
        <w:spacing w:before="180" w:beforeLines="50" w:after="180" w:afterLines="50" w:line="240" w:lineRule="auto"/>
        <w:jc w:val="both"/>
        <w:rPr>
          <w:rFonts w:ascii="Times New Roman" w:hAnsi="Times New Roman" w:eastAsia="宋体"/>
          <w:color w:val="000000"/>
          <w:sz w:val="20"/>
          <w:szCs w:val="20"/>
        </w:rPr>
      </w:pPr>
      <w:r>
        <w:rPr>
          <w:rFonts w:hint="eastAsia" w:ascii="Times New Roman" w:hAnsi="Times New Roman"/>
          <w:sz w:val="20"/>
          <w:szCs w:val="20"/>
          <w:lang w:val="en-GB"/>
        </w:rPr>
        <w:t>F</w:t>
      </w:r>
      <w:r>
        <w:rPr>
          <w:rFonts w:ascii="Times New Roman" w:hAnsi="Times New Roman"/>
          <w:sz w:val="20"/>
          <w:szCs w:val="20"/>
          <w:lang w:val="en-GB"/>
        </w:rPr>
        <w:t xml:space="preserve">urthermore, for </w:t>
      </w:r>
      <w:r>
        <w:rPr>
          <w:rFonts w:ascii="Times New Roman" w:hAnsi="Times New Roman" w:eastAsia="宋体"/>
          <w:color w:val="000000"/>
          <w:sz w:val="20"/>
          <w:szCs w:val="20"/>
        </w:rPr>
        <w:t>the UE initiated data transmission using UL SDT, it has been agreed that the network can send DL LCS, LPP message and RRC message to the UE as shown in above agreements in section 1. Consequently, it should be able to support SRS configuration carried by SDT DL RRC message.</w:t>
      </w:r>
    </w:p>
    <w:p>
      <w:pPr>
        <w:snapToGrid w:val="0"/>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Also, in </w:t>
      </w:r>
      <w:r>
        <w:rPr>
          <w:rFonts w:hint="eastAsia" w:ascii="Times New Roman" w:hAnsi="Times New Roman" w:eastAsia="宋体"/>
          <w:color w:val="000000"/>
          <w:sz w:val="20"/>
          <w:szCs w:val="20"/>
        </w:rPr>
        <w:t xml:space="preserve">TR </w:t>
      </w:r>
      <w:r>
        <w:rPr>
          <w:rFonts w:ascii="Times New Roman" w:hAnsi="Times New Roman" w:eastAsia="宋体"/>
          <w:color w:val="000000"/>
          <w:sz w:val="20"/>
          <w:szCs w:val="20"/>
        </w:rPr>
        <w:t xml:space="preserve">38.857, it has been supported that </w:t>
      </w:r>
      <w:r>
        <w:rPr>
          <w:rFonts w:ascii="Times New Roman" w:hAnsi="Times New Roman" w:eastAsia="宋体"/>
          <w:i/>
          <w:color w:val="000000"/>
          <w:sz w:val="20"/>
          <w:szCs w:val="20"/>
        </w:rPr>
        <w:t>ProvideAssistanceData</w:t>
      </w:r>
      <w:r>
        <w:rPr>
          <w:rFonts w:ascii="Times New Roman" w:hAnsi="Times New Roman" w:eastAsia="宋体"/>
          <w:color w:val="000000"/>
          <w:sz w:val="20"/>
          <w:szCs w:val="20"/>
        </w:rPr>
        <w:t xml:space="preserve"> in </w:t>
      </w:r>
      <w:r>
        <w:rPr>
          <w:rFonts w:ascii="Times New Roman" w:hAnsi="Times New Roman" w:eastAsia="宋体"/>
          <w:i/>
          <w:color w:val="000000"/>
          <w:sz w:val="20"/>
          <w:szCs w:val="20"/>
        </w:rPr>
        <w:t>RRC_CONNECTED</w:t>
      </w:r>
      <w:r>
        <w:rPr>
          <w:rFonts w:ascii="Times New Roman" w:hAnsi="Times New Roman" w:eastAsia="宋体"/>
          <w:color w:val="000000"/>
          <w:sz w:val="20"/>
          <w:szCs w:val="20"/>
        </w:rPr>
        <w:t xml:space="preserve"> for DL-PRS configuration used in RRC_INACTIVE downlink positioning. Similarly, for UL/DL+UL positioning, SRS configuration in </w:t>
      </w:r>
      <w:r>
        <w:rPr>
          <w:rFonts w:ascii="Times New Roman" w:hAnsi="Times New Roman" w:eastAsia="宋体"/>
          <w:i/>
          <w:color w:val="000000"/>
          <w:sz w:val="20"/>
          <w:szCs w:val="20"/>
        </w:rPr>
        <w:t>RRC_CONNECTED</w:t>
      </w:r>
      <w:r>
        <w:rPr>
          <w:rFonts w:ascii="Times New Roman" w:hAnsi="Times New Roman" w:eastAsia="宋体"/>
          <w:color w:val="000000"/>
          <w:sz w:val="20"/>
          <w:szCs w:val="20"/>
        </w:rPr>
        <w:t xml:space="preserve"> should be naturally used in RRC_INACTIVE positioning for the sake of low latency and RRC overhead. </w:t>
      </w:r>
    </w:p>
    <w:p>
      <w:pPr>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In summary, we think there are three ways to inform SRS configuration for RRC_INACTIVE UL/DL+UL positioning:</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 xml:space="preserve">Alt 1: by </w:t>
      </w:r>
      <w:r>
        <w:rPr>
          <w:color w:val="000000"/>
          <w:sz w:val="20"/>
        </w:rPr>
        <w:t>SDT DL RRC message</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 xml:space="preserve">Alt 2: by </w:t>
      </w:r>
      <w:r>
        <w:rPr>
          <w:i/>
          <w:sz w:val="20"/>
          <w:lang w:val="en-GB"/>
        </w:rPr>
        <w:t>RRCRelease</w:t>
      </w:r>
      <w:r>
        <w:rPr>
          <w:sz w:val="20"/>
          <w:lang w:val="en-GB"/>
        </w:rPr>
        <w:t xml:space="preserve"> with </w:t>
      </w:r>
      <w:r>
        <w:rPr>
          <w:i/>
          <w:sz w:val="20"/>
          <w:lang w:val="en-GB"/>
        </w:rPr>
        <w:t>SuspendConfig</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Alt 3: use SRS configuration in RRC_CONNECTED</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eastAsia="宋体"/>
          <w:color w:val="000000"/>
          <w:sz w:val="20"/>
          <w:szCs w:val="20"/>
        </w:rPr>
        <w:t xml:space="preserve">In addition, considering the limited time budget and to reduce spec effort, the SRS configuration can reuse the existing design for simplicity. </w:t>
      </w:r>
      <w:r>
        <w:rPr>
          <w:rFonts w:hint="eastAsia" w:ascii="Times New Roman" w:hAnsi="Times New Roman" w:eastAsia="宋体"/>
          <w:color w:val="000000"/>
          <w:sz w:val="20"/>
          <w:szCs w:val="20"/>
        </w:rPr>
        <w:t>S</w:t>
      </w:r>
      <w:r>
        <w:rPr>
          <w:rFonts w:ascii="Times New Roman" w:hAnsi="Times New Roman" w:eastAsia="宋体"/>
          <w:color w:val="000000"/>
          <w:sz w:val="20"/>
          <w:szCs w:val="20"/>
        </w:rPr>
        <w:t xml:space="preserve">ome proposals were mentioned in previous discussion to suggest delta SRS configuration, e.g. for SRS in RRC_INACTIVE state, gNB only configures some differentiated SRS parameters by </w:t>
      </w:r>
      <w:r>
        <w:rPr>
          <w:rFonts w:ascii="Times New Roman" w:hAnsi="Times New Roman"/>
          <w:i/>
          <w:sz w:val="20"/>
          <w:lang w:val="en-GB"/>
        </w:rPr>
        <w:t>RRCRelease</w:t>
      </w:r>
      <w:r>
        <w:rPr>
          <w:rFonts w:ascii="Times New Roman" w:hAnsi="Times New Roman"/>
          <w:sz w:val="20"/>
          <w:lang w:val="en-GB"/>
        </w:rPr>
        <w:t xml:space="preserve"> with </w:t>
      </w:r>
      <w:r>
        <w:rPr>
          <w:rFonts w:ascii="Times New Roman" w:hAnsi="Times New Roman"/>
          <w:i/>
          <w:sz w:val="20"/>
          <w:lang w:val="en-GB"/>
        </w:rPr>
        <w:t>SuspendConfig</w:t>
      </w:r>
      <w:r>
        <w:rPr>
          <w:rFonts w:ascii="Times New Roman" w:hAnsi="Times New Roman" w:eastAsia="宋体"/>
          <w:color w:val="000000"/>
          <w:sz w:val="20"/>
          <w:szCs w:val="20"/>
        </w:rPr>
        <w:t xml:space="preserve"> against a reference SRS configuration. However, we don’t see the need of this kind of enhancement as it may sacrifice the flexibility of SRS configuration only for the sake of a bit RRC overhead. Furthermore, it will cause more specification effort.  </w:t>
      </w:r>
    </w:p>
    <w:p>
      <w:pPr>
        <w:snapToGrid w:val="0"/>
        <w:spacing w:after="0" w:line="240" w:lineRule="auto"/>
        <w:jc w:val="both"/>
        <w:rPr>
          <w:rFonts w:ascii="Times New Roman" w:hAnsi="Times New Roman" w:eastAsia="宋体"/>
          <w:b/>
          <w:i/>
          <w:color w:val="000000"/>
          <w:sz w:val="20"/>
          <w:szCs w:val="20"/>
        </w:rPr>
      </w:pPr>
      <w:r>
        <w:rPr>
          <w:rFonts w:ascii="Times New Roman" w:hAnsi="Times New Roman"/>
          <w:b/>
          <w:i/>
          <w:sz w:val="20"/>
          <w:szCs w:val="20"/>
          <w:lang w:val="en-GB"/>
        </w:rPr>
        <w:t>Proposal 2: Support SRS configuration carried by</w:t>
      </w:r>
    </w:p>
    <w:p>
      <w:pPr>
        <w:pStyle w:val="89"/>
        <w:numPr>
          <w:ilvl w:val="0"/>
          <w:numId w:val="3"/>
        </w:numPr>
        <w:snapToGrid w:val="0"/>
        <w:spacing w:after="0" w:line="240" w:lineRule="auto"/>
        <w:contextualSpacing w:val="0"/>
        <w:jc w:val="both"/>
        <w:rPr>
          <w:b/>
          <w:i/>
          <w:sz w:val="20"/>
          <w:lang w:val="en-GB"/>
        </w:rPr>
      </w:pPr>
      <w:r>
        <w:rPr>
          <w:b/>
          <w:i/>
          <w:color w:val="000000"/>
          <w:sz w:val="20"/>
        </w:rPr>
        <w:t xml:space="preserve">SDT DL RRC message. </w:t>
      </w:r>
    </w:p>
    <w:p>
      <w:pPr>
        <w:pStyle w:val="89"/>
        <w:numPr>
          <w:ilvl w:val="1"/>
          <w:numId w:val="3"/>
        </w:numPr>
        <w:snapToGrid w:val="0"/>
        <w:spacing w:after="0" w:line="240" w:lineRule="auto"/>
        <w:contextualSpacing w:val="0"/>
        <w:jc w:val="both"/>
        <w:rPr>
          <w:b/>
          <w:i/>
          <w:sz w:val="20"/>
          <w:lang w:val="en-GB"/>
        </w:rPr>
      </w:pPr>
      <w:r>
        <w:rPr>
          <w:b/>
          <w:i/>
          <w:sz w:val="20"/>
          <w:lang w:val="en-GB"/>
        </w:rPr>
        <w:t>Message B or 4 can be considered in the case when 2 or 4 step RACH based access is chosen for SDT</w:t>
      </w:r>
    </w:p>
    <w:p>
      <w:pPr>
        <w:pStyle w:val="89"/>
        <w:numPr>
          <w:ilvl w:val="0"/>
          <w:numId w:val="3"/>
        </w:numPr>
        <w:snapToGrid w:val="0"/>
        <w:spacing w:after="0" w:line="240" w:lineRule="auto"/>
        <w:contextualSpacing w:val="0"/>
        <w:jc w:val="both"/>
        <w:rPr>
          <w:b/>
          <w:i/>
          <w:sz w:val="20"/>
          <w:lang w:val="en-GB"/>
        </w:rPr>
      </w:pPr>
      <w:r>
        <w:rPr>
          <w:b/>
          <w:i/>
          <w:sz w:val="20"/>
          <w:lang w:val="en-GB"/>
        </w:rPr>
        <w:t>RRCRelease with SuspendConfig</w:t>
      </w:r>
    </w:p>
    <w:p>
      <w:pPr>
        <w:pStyle w:val="89"/>
        <w:numPr>
          <w:ilvl w:val="0"/>
          <w:numId w:val="3"/>
        </w:numPr>
        <w:snapToGrid w:val="0"/>
        <w:spacing w:after="0" w:line="240" w:lineRule="auto"/>
        <w:contextualSpacing w:val="0"/>
        <w:jc w:val="both"/>
        <w:rPr>
          <w:b/>
          <w:i/>
          <w:sz w:val="20"/>
          <w:lang w:val="en-GB"/>
        </w:rPr>
      </w:pPr>
      <w:r>
        <w:rPr>
          <w:b/>
          <w:i/>
          <w:sz w:val="20"/>
          <w:lang w:val="en-GB"/>
        </w:rPr>
        <w:t>SRS configuration in RRC_CONNECTED</w:t>
      </w:r>
    </w:p>
    <w:p>
      <w:pPr>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In addition, since SRS includes periodic, semi-persistent and aperiodic time domain behavior. It should be clarified the start and end time of SRS transmission for different time domain behavior. As shown in Figure 1, where UE receives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eastAsia="宋体"/>
          <w:color w:val="000000"/>
          <w:sz w:val="20"/>
          <w:szCs w:val="20"/>
        </w:rPr>
        <w:t xml:space="preserve"> in time t0 to trigger UE in RRC INACTIVE state. The </w:t>
      </w:r>
      <w:r>
        <w:rPr>
          <w:rFonts w:ascii="Times New Roman" w:hAnsi="Times New Roman"/>
          <w:i/>
          <w:sz w:val="20"/>
          <w:szCs w:val="20"/>
          <w:lang w:val="en-GB"/>
        </w:rPr>
        <w:t>RRCRelease</w:t>
      </w:r>
      <w:r>
        <w:rPr>
          <w:rFonts w:ascii="Times New Roman" w:hAnsi="Times New Roman"/>
          <w:sz w:val="20"/>
          <w:szCs w:val="20"/>
          <w:lang w:val="en-GB"/>
        </w:rPr>
        <w:t xml:space="preserve"> with </w:t>
      </w:r>
      <w:r>
        <w:rPr>
          <w:rFonts w:ascii="Times New Roman" w:hAnsi="Times New Roman"/>
          <w:i/>
          <w:sz w:val="20"/>
          <w:szCs w:val="20"/>
          <w:lang w:val="en-GB"/>
        </w:rPr>
        <w:t>SuspendConfig</w:t>
      </w:r>
      <w:r>
        <w:rPr>
          <w:rFonts w:ascii="Times New Roman" w:hAnsi="Times New Roman" w:eastAsia="宋体"/>
          <w:color w:val="000000"/>
          <w:sz w:val="20"/>
          <w:szCs w:val="20"/>
        </w:rPr>
        <w:t xml:space="preserve"> includes SDT configuration, such as SRS configuration for positioning, CG resources, etc.. Then, UE initiates SDT in t1 and end the SDT in t2 (indicated by RRC). So the SDT active period is between t1 and t2. </w:t>
      </w:r>
    </w:p>
    <w:p>
      <w:pPr>
        <w:pStyle w:val="89"/>
        <w:numPr>
          <w:ilvl w:val="0"/>
          <w:numId w:val="4"/>
        </w:numPr>
        <w:snapToGrid w:val="0"/>
        <w:spacing w:before="180" w:beforeLines="50" w:afterLines="50" w:line="240" w:lineRule="auto"/>
        <w:contextualSpacing w:val="0"/>
        <w:jc w:val="both"/>
        <w:rPr>
          <w:color w:val="000000"/>
          <w:sz w:val="20"/>
        </w:rPr>
      </w:pPr>
      <w:r>
        <w:rPr>
          <w:color w:val="000000"/>
          <w:sz w:val="20"/>
        </w:rPr>
        <w:t xml:space="preserve">For aperiodic SRS, it must be triggered by a DCI which must be transmitted within SDT active period. Therefore, aperiodic SRS transmission should be only transmitted within SDT active period. </w:t>
      </w:r>
    </w:p>
    <w:p>
      <w:pPr>
        <w:pStyle w:val="89"/>
        <w:numPr>
          <w:ilvl w:val="0"/>
          <w:numId w:val="4"/>
        </w:numPr>
        <w:snapToGrid w:val="0"/>
        <w:spacing w:before="180" w:beforeLines="50" w:afterLines="50" w:line="240" w:lineRule="auto"/>
        <w:contextualSpacing w:val="0"/>
        <w:jc w:val="both"/>
        <w:rPr>
          <w:color w:val="000000"/>
          <w:sz w:val="20"/>
        </w:rPr>
      </w:pPr>
      <w:r>
        <w:rPr>
          <w:color w:val="000000"/>
          <w:sz w:val="20"/>
        </w:rPr>
        <w:t>For semi-persistent SRS, it is activated by MAC</w:t>
      </w:r>
      <w:r>
        <w:rPr>
          <w:rFonts w:hint="eastAsia"/>
          <w:color w:val="000000"/>
          <w:sz w:val="20"/>
          <w:lang w:eastAsia="zh-CN"/>
        </w:rPr>
        <w:t xml:space="preserve"> </w:t>
      </w:r>
      <w:r>
        <w:rPr>
          <w:color w:val="000000"/>
          <w:sz w:val="20"/>
        </w:rPr>
        <w:t xml:space="preserve">CE based on Rel-15/16. </w:t>
      </w:r>
    </w:p>
    <w:p>
      <w:pPr>
        <w:pStyle w:val="89"/>
        <w:numPr>
          <w:ilvl w:val="1"/>
          <w:numId w:val="4"/>
        </w:numPr>
        <w:snapToGrid w:val="0"/>
        <w:spacing w:before="180" w:beforeLines="50" w:afterLines="50" w:line="240" w:lineRule="auto"/>
        <w:contextualSpacing w:val="0"/>
        <w:jc w:val="both"/>
        <w:rPr>
          <w:color w:val="000000"/>
          <w:sz w:val="20"/>
        </w:rPr>
      </w:pPr>
      <w:r>
        <w:rPr>
          <w:color w:val="000000"/>
          <w:sz w:val="20"/>
        </w:rPr>
        <w:t>One natural way is similar as aperiodic SRS that the MAC</w:t>
      </w:r>
      <w:r>
        <w:rPr>
          <w:rFonts w:hint="eastAsia"/>
          <w:color w:val="000000"/>
          <w:sz w:val="20"/>
          <w:lang w:eastAsia="zh-CN"/>
        </w:rPr>
        <w:t xml:space="preserve"> </w:t>
      </w:r>
      <w:r>
        <w:rPr>
          <w:color w:val="000000"/>
          <w:sz w:val="20"/>
        </w:rPr>
        <w:t xml:space="preserve">CE activating and deactivating command should be only transmitted within SDT active period. That is, only between t1 and t2, gNB can activate or deactivate semi-persistent SRS transmission. Note that SRS configuration can be configured by </w:t>
      </w:r>
      <w:r>
        <w:rPr>
          <w:i/>
          <w:color w:val="000000"/>
          <w:sz w:val="20"/>
        </w:rPr>
        <w:t>RRCRelease</w:t>
      </w:r>
      <w:r>
        <w:rPr>
          <w:color w:val="000000"/>
          <w:sz w:val="20"/>
        </w:rPr>
        <w:t xml:space="preserve"> message. </w:t>
      </w:r>
    </w:p>
    <w:p>
      <w:pPr>
        <w:pStyle w:val="89"/>
        <w:numPr>
          <w:ilvl w:val="2"/>
          <w:numId w:val="4"/>
        </w:numPr>
        <w:snapToGrid w:val="0"/>
        <w:spacing w:before="180" w:beforeLines="50" w:afterLines="50" w:line="240" w:lineRule="auto"/>
        <w:contextualSpacing w:val="0"/>
        <w:jc w:val="both"/>
        <w:rPr>
          <w:color w:val="000000"/>
          <w:sz w:val="20"/>
        </w:rPr>
      </w:pPr>
      <w:r>
        <w:rPr>
          <w:color w:val="000000"/>
          <w:sz w:val="20"/>
        </w:rPr>
        <w:t xml:space="preserve">This solution needs less spec effort. However, it may cause large UL measurement latency. </w:t>
      </w:r>
    </w:p>
    <w:p>
      <w:pPr>
        <w:pStyle w:val="89"/>
        <w:numPr>
          <w:ilvl w:val="1"/>
          <w:numId w:val="4"/>
        </w:numPr>
        <w:snapToGrid w:val="0"/>
        <w:spacing w:before="180" w:beforeLines="50" w:afterLines="50" w:line="240" w:lineRule="auto"/>
        <w:contextualSpacing w:val="0"/>
        <w:jc w:val="both"/>
        <w:rPr>
          <w:color w:val="000000"/>
          <w:sz w:val="20"/>
        </w:rPr>
      </w:pPr>
      <w:r>
        <w:rPr>
          <w:color w:val="000000"/>
          <w:sz w:val="20"/>
        </w:rPr>
        <w:t>The other way is to allow gNB activating SRS transmission by RRC release message. After SRS release activating semi-persistent SRS at t0, UE will start transmit SRS no matter it is within SDT active period or not. During SDT active period, gNB can also use MAC</w:t>
      </w:r>
      <w:r>
        <w:rPr>
          <w:rFonts w:hint="eastAsia"/>
          <w:color w:val="000000"/>
          <w:sz w:val="20"/>
          <w:lang w:eastAsia="zh-CN"/>
        </w:rPr>
        <w:t xml:space="preserve"> </w:t>
      </w:r>
      <w:r>
        <w:rPr>
          <w:color w:val="000000"/>
          <w:sz w:val="20"/>
        </w:rPr>
        <w:t xml:space="preserve">CE to re-activate or deactivate the semi-persistent SRS transmission. </w:t>
      </w:r>
    </w:p>
    <w:p>
      <w:pPr>
        <w:pStyle w:val="89"/>
        <w:numPr>
          <w:ilvl w:val="2"/>
          <w:numId w:val="4"/>
        </w:numPr>
        <w:snapToGrid w:val="0"/>
        <w:spacing w:before="180" w:beforeLines="50" w:afterLines="50" w:line="240" w:lineRule="auto"/>
        <w:contextualSpacing w:val="0"/>
        <w:jc w:val="both"/>
        <w:rPr>
          <w:color w:val="000000"/>
          <w:sz w:val="20"/>
        </w:rPr>
      </w:pPr>
      <w:r>
        <w:rPr>
          <w:color w:val="000000"/>
          <w:sz w:val="20"/>
        </w:rPr>
        <w:t>This solution can reduce UL measurement latency since gNBs can measure positioning SRS before UE triggering positioning service.</w:t>
      </w:r>
    </w:p>
    <w:p>
      <w:pPr>
        <w:pStyle w:val="89"/>
        <w:numPr>
          <w:ilvl w:val="0"/>
          <w:numId w:val="4"/>
        </w:numPr>
        <w:snapToGrid w:val="0"/>
        <w:spacing w:before="180" w:beforeLines="50" w:afterLines="50" w:line="240" w:lineRule="auto"/>
        <w:contextualSpacing w:val="0"/>
        <w:jc w:val="both"/>
        <w:rPr>
          <w:color w:val="000000"/>
          <w:sz w:val="20"/>
        </w:rPr>
      </w:pPr>
      <w:r>
        <w:rPr>
          <w:color w:val="000000"/>
          <w:sz w:val="20"/>
        </w:rPr>
        <w:t xml:space="preserve">For periodic SRS, there are also two ways. </w:t>
      </w:r>
    </w:p>
    <w:p>
      <w:pPr>
        <w:pStyle w:val="89"/>
        <w:numPr>
          <w:ilvl w:val="1"/>
          <w:numId w:val="4"/>
        </w:numPr>
        <w:snapToGrid w:val="0"/>
        <w:spacing w:before="180" w:beforeLines="50" w:afterLines="50" w:line="240" w:lineRule="auto"/>
        <w:contextualSpacing w:val="0"/>
        <w:jc w:val="both"/>
        <w:rPr>
          <w:color w:val="000000"/>
          <w:sz w:val="20"/>
        </w:rPr>
      </w:pPr>
      <w:r>
        <w:rPr>
          <w:color w:val="000000"/>
          <w:sz w:val="20"/>
        </w:rPr>
        <w:t>One way is to restrict SRS transmission within SDT active period. As shown in Figure 1, only SRS 3 and 4 will be transmitted.</w:t>
      </w:r>
    </w:p>
    <w:p>
      <w:pPr>
        <w:pStyle w:val="89"/>
        <w:numPr>
          <w:ilvl w:val="1"/>
          <w:numId w:val="4"/>
        </w:numPr>
        <w:snapToGrid w:val="0"/>
        <w:spacing w:before="180" w:beforeLines="50" w:afterLines="50" w:line="240" w:lineRule="auto"/>
        <w:contextualSpacing w:val="0"/>
        <w:jc w:val="both"/>
        <w:rPr>
          <w:color w:val="000000"/>
          <w:sz w:val="20"/>
        </w:rPr>
      </w:pPr>
      <w:r>
        <w:rPr>
          <w:color w:val="000000"/>
          <w:sz w:val="20"/>
        </w:rPr>
        <w:t xml:space="preserve">The other way is allow SRS transmission outside SDT active period. That is, after receiving SRS release message with periodic SRS configuration at t0, UE will start transmit SRS no matter it is within SDT active period or not. As shown in Figure 1, all of SRS 1, 2, 3 and 4 will be transmitted during UE RRC INACTIVE state. </w:t>
      </w:r>
    </w:p>
    <w:p>
      <w:pPr>
        <w:snapToGrid w:val="0"/>
        <w:spacing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drawing>
          <wp:inline distT="0" distB="0" distL="0" distR="0">
            <wp:extent cx="6085840" cy="2252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098922" cy="2257756"/>
                    </a:xfrm>
                    <a:prstGeom prst="rect">
                      <a:avLst/>
                    </a:prstGeom>
                    <a:noFill/>
                  </pic:spPr>
                </pic:pic>
              </a:graphicData>
            </a:graphic>
          </wp:inline>
        </w:drawing>
      </w:r>
    </w:p>
    <w:p>
      <w:pPr>
        <w:snapToGrid w:val="0"/>
        <w:spacing w:after="180" w:afterLines="50" w:line="240" w:lineRule="auto"/>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F</w:t>
      </w:r>
      <w:r>
        <w:rPr>
          <w:rFonts w:ascii="Times New Roman" w:hAnsi="Times New Roman" w:eastAsia="宋体"/>
          <w:color w:val="000000"/>
          <w:sz w:val="20"/>
          <w:szCs w:val="20"/>
        </w:rPr>
        <w:t>igure 1 SRS transmission in RRC INACTIVE</w:t>
      </w:r>
    </w:p>
    <w:p>
      <w:pPr>
        <w:snapToGrid w:val="0"/>
        <w:spacing w:before="180" w:beforeLines="50" w:after="0" w:line="240" w:lineRule="auto"/>
        <w:jc w:val="both"/>
        <w:rPr>
          <w:b/>
          <w:i/>
          <w:sz w:val="20"/>
          <w:lang w:val="en-GB"/>
        </w:rPr>
      </w:pPr>
      <w:r>
        <w:rPr>
          <w:rFonts w:ascii="Times New Roman" w:hAnsi="Times New Roman"/>
          <w:b/>
          <w:i/>
          <w:sz w:val="20"/>
          <w:szCs w:val="20"/>
          <w:lang w:val="en-GB"/>
        </w:rPr>
        <w:t>Proposal 3: If UL/DL+UL positioning methods are supported in RRC INACTIVE, it should be clarified whether SRS transmission can be allowed outside SDT active period.</w:t>
      </w:r>
    </w:p>
    <w:p>
      <w:pPr>
        <w:snapToGrid w:val="0"/>
        <w:spacing w:after="180" w:afterLines="50" w:line="240" w:lineRule="auto"/>
        <w:jc w:val="both"/>
        <w:rPr>
          <w:rFonts w:ascii="Times New Roman" w:hAnsi="Times New Roman" w:eastAsia="宋体"/>
          <w:color w:val="000000"/>
          <w:sz w:val="20"/>
          <w:szCs w:val="20"/>
          <w:lang w:val="en-GB"/>
        </w:rPr>
      </w:pPr>
    </w:p>
    <w:p>
      <w:pPr>
        <w:snapToGrid w:val="0"/>
        <w:spacing w:after="180" w:afterLines="50" w:line="240" w:lineRule="auto"/>
        <w:jc w:val="both"/>
        <w:rPr>
          <w:rFonts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W</w:t>
      </w:r>
      <w:r>
        <w:rPr>
          <w:rFonts w:ascii="Times New Roman" w:hAnsi="Times New Roman" w:eastAsia="宋体"/>
          <w:color w:val="000000"/>
          <w:sz w:val="20"/>
          <w:szCs w:val="20"/>
          <w:lang w:val="en-GB"/>
        </w:rPr>
        <w:t xml:space="preserve">ith regard to TA issue for SRS transmission, we don’t see any difference with the TA issue of SDT PUSCH transmission which is discussed in SDT agenda. </w:t>
      </w:r>
    </w:p>
    <w:p>
      <w:pPr>
        <w:snapToGrid w:val="0"/>
        <w:spacing w:after="180" w:afterLines="50" w:line="240" w:lineRule="auto"/>
        <w:jc w:val="both"/>
        <w:rPr>
          <w:rFonts w:ascii="Times New Roman" w:hAnsi="Times New Roman" w:eastAsia="宋体"/>
          <w:b/>
          <w:i/>
          <w:color w:val="000000"/>
          <w:sz w:val="20"/>
          <w:szCs w:val="20"/>
          <w:lang w:val="en-GB"/>
        </w:rPr>
      </w:pPr>
      <w:r>
        <w:rPr>
          <w:rFonts w:ascii="Times New Roman" w:hAnsi="Times New Roman"/>
          <w:b/>
          <w:i/>
          <w:sz w:val="20"/>
          <w:szCs w:val="20"/>
          <w:lang w:val="en-GB"/>
        </w:rPr>
        <w:t xml:space="preserve">Observation 3: </w:t>
      </w:r>
      <w:r>
        <w:rPr>
          <w:rFonts w:ascii="Times New Roman" w:hAnsi="Times New Roman" w:eastAsia="宋体"/>
          <w:b/>
          <w:i/>
          <w:color w:val="000000"/>
          <w:sz w:val="20"/>
          <w:szCs w:val="20"/>
          <w:lang w:val="en-GB"/>
        </w:rPr>
        <w:t>SRS TA can follow conclusion of SDT discussion, there is no need to discuss in positioning agenda.</w:t>
      </w:r>
    </w:p>
    <w:p>
      <w:pPr>
        <w:snapToGrid w:val="0"/>
        <w:spacing w:after="180" w:afterLines="50" w:line="240" w:lineRule="auto"/>
        <w:jc w:val="both"/>
        <w:rPr>
          <w:rFonts w:ascii="Times New Roman" w:hAnsi="Times New Roman"/>
          <w:b/>
          <w:sz w:val="20"/>
          <w:szCs w:val="20"/>
          <w:lang w:val="en-GB"/>
        </w:rPr>
      </w:pPr>
    </w:p>
    <w:p>
      <w:pPr>
        <w:pStyle w:val="4"/>
        <w:snapToGrid w:val="0"/>
        <w:spacing w:before="100" w:beforeAutospacing="1" w:after="100" w:afterAutospacing="1" w:line="240" w:lineRule="auto"/>
        <w:rPr>
          <w:rFonts w:ascii="Times New Roman" w:hAnsi="Times New Roman"/>
          <w:b/>
          <w:bCs/>
          <w:sz w:val="21"/>
          <w:szCs w:val="21"/>
          <w:u w:val="single"/>
        </w:rPr>
      </w:pPr>
      <w:r>
        <w:rPr>
          <w:rFonts w:ascii="Times New Roman" w:hAnsi="Times New Roman"/>
          <w:b/>
          <w:bCs/>
          <w:sz w:val="21"/>
          <w:szCs w:val="21"/>
          <w:u w:val="single"/>
        </w:rPr>
        <w:t>Supported type of location services</w:t>
      </w:r>
    </w:p>
    <w:p>
      <w:pPr>
        <w:snapToGrid w:val="0"/>
        <w:spacing w:before="180" w:beforeLines="50" w:after="180"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I</w:t>
      </w:r>
      <w:r>
        <w:rPr>
          <w:rFonts w:ascii="Times New Roman" w:hAnsi="Times New Roman" w:eastAsia="宋体"/>
          <w:color w:val="000000"/>
          <w:sz w:val="20"/>
          <w:szCs w:val="20"/>
        </w:rPr>
        <w:t xml:space="preserve">n previous two meetings, there were some discussions on support type of location services. In summary, there are three options as follows for INACTIVE positioning. </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Option1: Support only deferred MT-LR</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Option2: Support both deferred MT-LR and MO-LR</w:t>
      </w:r>
    </w:p>
    <w:p>
      <w:pPr>
        <w:pStyle w:val="89"/>
        <w:numPr>
          <w:ilvl w:val="0"/>
          <w:numId w:val="3"/>
        </w:numPr>
        <w:snapToGrid w:val="0"/>
        <w:spacing w:before="180" w:beforeLines="50" w:afterLines="50" w:line="240" w:lineRule="auto"/>
        <w:contextualSpacing w:val="0"/>
        <w:jc w:val="both"/>
        <w:rPr>
          <w:sz w:val="20"/>
          <w:lang w:val="en-GB"/>
        </w:rPr>
      </w:pPr>
      <w:r>
        <w:rPr>
          <w:sz w:val="20"/>
          <w:lang w:val="en-GB"/>
        </w:rPr>
        <w:t>Option3: Ask SA2 to make the decision</w:t>
      </w:r>
    </w:p>
    <w:p>
      <w:pPr>
        <w:snapToGrid w:val="0"/>
        <w:spacing w:after="180" w:afterLines="5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A</w:t>
      </w:r>
      <w:r>
        <w:rPr>
          <w:rFonts w:ascii="Times New Roman" w:hAnsi="Times New Roman" w:eastAsia="宋体"/>
          <w:color w:val="000000"/>
          <w:sz w:val="20"/>
          <w:szCs w:val="20"/>
        </w:rPr>
        <w:t>s shown in Figure 1, after UE accessed in SDT duration between t1 and t2, it has been agreed the network can send DL LCS, LPP message and RRC message to the UE as shown in Agreement in section 1. That is, after the UE initiated data transmission using UL SDT probably for some traffics other than positioning service, network can trigger location service during SDT active period. There is no reason to preclude this case. Thus, MT-LR, NI-LR and differed MT-LR can be supported.</w:t>
      </w:r>
    </w:p>
    <w:p>
      <w:pPr>
        <w:snapToGrid w:val="0"/>
        <w:spacing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In our view, from RAN2 perspective, both all location service types should be specified as what we did in Rel-16. From SA2 perspective, we don’t think there is a necessity for enhancement since RRC state is transparent to LMF. </w:t>
      </w:r>
    </w:p>
    <w:p>
      <w:pPr>
        <w:snapToGrid w:val="0"/>
        <w:spacing w:before="180" w:beforeLines="50" w:after="0" w:line="240" w:lineRule="auto"/>
        <w:jc w:val="both"/>
        <w:rPr>
          <w:rFonts w:ascii="Times New Roman" w:hAnsi="Times New Roman"/>
          <w:b/>
          <w:i/>
          <w:sz w:val="20"/>
          <w:szCs w:val="20"/>
          <w:lang w:val="en-GB"/>
        </w:rPr>
      </w:pPr>
      <w:r>
        <w:rPr>
          <w:rFonts w:hint="eastAsia" w:ascii="Times New Roman" w:hAnsi="Times New Roman"/>
          <w:b/>
          <w:i/>
          <w:sz w:val="20"/>
          <w:szCs w:val="20"/>
          <w:lang w:val="en-GB"/>
        </w:rPr>
        <w:t>P</w:t>
      </w:r>
      <w:r>
        <w:rPr>
          <w:rFonts w:ascii="Times New Roman" w:hAnsi="Times New Roman"/>
          <w:b/>
          <w:i/>
          <w:sz w:val="20"/>
          <w:szCs w:val="20"/>
          <w:lang w:val="en-GB"/>
        </w:rPr>
        <w:t>roposal 4: Support all location service types from RAN2 perspective including MT-LR, MO-LR, NI-LR and differed MT-LR.</w:t>
      </w:r>
    </w:p>
    <w:p>
      <w:pPr>
        <w:snapToGrid w:val="0"/>
        <w:spacing w:after="180" w:afterLines="50" w:line="240" w:lineRule="auto"/>
        <w:jc w:val="both"/>
        <w:rPr>
          <w:sz w:val="20"/>
          <w:lang w:val="en-GB"/>
        </w:rPr>
      </w:pPr>
    </w:p>
    <w:p>
      <w:pPr>
        <w:pStyle w:val="2"/>
        <w:snapToGrid w:val="0"/>
        <w:spacing w:before="120" w:after="180" w:afterLines="50"/>
        <w:ind w:left="431" w:hanging="431"/>
        <w:jc w:val="both"/>
        <w:rPr>
          <w:sz w:val="28"/>
          <w:lang w:val="en-US"/>
        </w:rPr>
      </w:pPr>
      <w:r>
        <w:rPr>
          <w:rFonts w:hint="eastAsia"/>
          <w:sz w:val="28"/>
          <w:lang w:val="en-US"/>
        </w:rPr>
        <w:t>Conclusions</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 xml:space="preserve">we provide our views </w:t>
      </w:r>
      <w:r>
        <w:rPr>
          <w:rFonts w:hint="eastAsia" w:ascii="Times New Roman" w:hAnsi="Times New Roman" w:eastAsia="宋体"/>
          <w:sz w:val="20"/>
          <w:szCs w:val="20"/>
          <w:lang w:val="en-US" w:eastAsia="zh-CN"/>
        </w:rPr>
        <w:t xml:space="preserve">about </w:t>
      </w:r>
      <w:r>
        <w:rPr>
          <w:rFonts w:ascii="Times New Roman" w:hAnsi="Times New Roman" w:eastAsia="宋体"/>
          <w:sz w:val="20"/>
          <w:szCs w:val="20"/>
          <w:lang w:val="en-GB" w:eastAsia="en-GB"/>
        </w:rPr>
        <w:t>positioning in RRC INACTIVE and make the following observations and proposals</w:t>
      </w:r>
    </w:p>
    <w:p>
      <w:pPr>
        <w:snapToGrid w:val="0"/>
        <w:spacing w:before="180" w:beforeLines="50" w:after="180" w:afterLines="50" w:line="240" w:lineRule="auto"/>
        <w:jc w:val="both"/>
        <w:rPr>
          <w:rFonts w:ascii="Times New Roman" w:hAnsi="Times New Roman"/>
          <w:b/>
          <w:i/>
          <w:sz w:val="20"/>
          <w:szCs w:val="20"/>
          <w:lang w:val="en-GB"/>
        </w:rPr>
      </w:pPr>
      <w:r>
        <w:rPr>
          <w:rFonts w:ascii="Times New Roman" w:hAnsi="Times New Roman"/>
          <w:b/>
          <w:i/>
          <w:sz w:val="20"/>
          <w:szCs w:val="20"/>
          <w:lang w:val="en-GB"/>
        </w:rPr>
        <w:t xml:space="preserve">Observation 1: There is no need to further discuss the selection between SDT and non-SDT for </w:t>
      </w:r>
      <w:r>
        <w:rPr>
          <w:rFonts w:hint="eastAsia" w:ascii="Times New Roman" w:hAnsi="Times New Roman"/>
          <w:b/>
          <w:i/>
          <w:sz w:val="20"/>
          <w:szCs w:val="20"/>
        </w:rPr>
        <w:t>location information</w:t>
      </w:r>
      <w:r>
        <w:rPr>
          <w:rFonts w:ascii="Times New Roman" w:hAnsi="Times New Roman"/>
          <w:b/>
          <w:i/>
          <w:sz w:val="20"/>
          <w:szCs w:val="20"/>
          <w:lang w:val="en-GB"/>
        </w:rPr>
        <w:t xml:space="preserve"> report in positioning agenda, the procedure agreed in SDT agenda can be completely reused.</w:t>
      </w:r>
    </w:p>
    <w:p>
      <w:pPr>
        <w:snapToGrid w:val="0"/>
        <w:spacing w:before="180" w:beforeLines="50" w:after="180" w:afterLines="50" w:line="240" w:lineRule="auto"/>
        <w:jc w:val="both"/>
        <w:rPr>
          <w:rFonts w:ascii="Times New Roman" w:hAnsi="Times New Roman"/>
          <w:b/>
          <w:i/>
          <w:sz w:val="20"/>
          <w:szCs w:val="20"/>
          <w:lang w:val="en-GB"/>
        </w:rPr>
      </w:pPr>
      <w:r>
        <w:rPr>
          <w:rFonts w:ascii="Times New Roman" w:hAnsi="Times New Roman"/>
          <w:b/>
          <w:i/>
          <w:sz w:val="20"/>
          <w:szCs w:val="20"/>
          <w:lang w:val="en-GB"/>
        </w:rPr>
        <w:t xml:space="preserve">Observation 2: Based on the current agreement, LMF is allowed to </w:t>
      </w:r>
      <w:r>
        <w:rPr>
          <w:rFonts w:hint="eastAsia" w:ascii="Times New Roman" w:hAnsi="Times New Roman"/>
          <w:b/>
          <w:i/>
          <w:sz w:val="20"/>
          <w:szCs w:val="20"/>
        </w:rPr>
        <w:t>deliver</w:t>
      </w:r>
      <w:r>
        <w:rPr>
          <w:rFonts w:ascii="Times New Roman" w:hAnsi="Times New Roman"/>
          <w:b/>
          <w:i/>
          <w:sz w:val="20"/>
          <w:szCs w:val="20"/>
          <w:lang w:val="en-GB"/>
        </w:rPr>
        <w:t xml:space="preserve"> PRS configuration via DL SDT.</w:t>
      </w:r>
    </w:p>
    <w:p>
      <w:pPr>
        <w:snapToGrid w:val="0"/>
        <w:spacing w:after="180" w:afterLines="50" w:line="240" w:lineRule="auto"/>
        <w:jc w:val="both"/>
        <w:rPr>
          <w:rFonts w:ascii="Times New Roman" w:hAnsi="Times New Roman" w:eastAsia="宋体"/>
          <w:b/>
          <w:i/>
          <w:color w:val="000000"/>
          <w:sz w:val="20"/>
          <w:szCs w:val="20"/>
          <w:lang w:val="en-GB"/>
        </w:rPr>
      </w:pPr>
      <w:r>
        <w:rPr>
          <w:rFonts w:ascii="Times New Roman" w:hAnsi="Times New Roman"/>
          <w:b/>
          <w:i/>
          <w:sz w:val="20"/>
          <w:szCs w:val="20"/>
          <w:lang w:val="en-GB"/>
        </w:rPr>
        <w:t xml:space="preserve">Observation 3: </w:t>
      </w:r>
      <w:r>
        <w:rPr>
          <w:rFonts w:ascii="Times New Roman" w:hAnsi="Times New Roman" w:eastAsia="宋体"/>
          <w:b/>
          <w:i/>
          <w:color w:val="000000"/>
          <w:sz w:val="20"/>
          <w:szCs w:val="20"/>
          <w:lang w:val="en-GB"/>
        </w:rPr>
        <w:t>SRS TA can follow conclusion of SDT discussion, there is no need to discuss in positioning agenda.</w:t>
      </w:r>
    </w:p>
    <w:p>
      <w:pPr>
        <w:snapToGrid w:val="0"/>
        <w:spacing w:before="180" w:beforeLines="50" w:after="180" w:afterLines="50" w:line="240" w:lineRule="auto"/>
        <w:jc w:val="both"/>
        <w:rPr>
          <w:rFonts w:ascii="Times New Roman" w:hAnsi="Times New Roman"/>
          <w:b/>
          <w:i/>
          <w:sz w:val="20"/>
          <w:szCs w:val="20"/>
          <w:lang w:val="en-GB"/>
        </w:rPr>
      </w:pPr>
    </w:p>
    <w:p>
      <w:pPr>
        <w:snapToGrid w:val="0"/>
        <w:spacing w:before="180" w:beforeLines="50" w:after="180" w:afterLines="50" w:line="240" w:lineRule="auto"/>
        <w:jc w:val="both"/>
        <w:rPr>
          <w:rFonts w:ascii="Times New Roman" w:hAnsi="Times New Roman"/>
          <w:b/>
          <w:i/>
          <w:sz w:val="20"/>
          <w:szCs w:val="20"/>
          <w:lang w:val="en-GB"/>
        </w:rPr>
      </w:pPr>
      <w:r>
        <w:rPr>
          <w:rFonts w:ascii="Times New Roman" w:hAnsi="Times New Roman"/>
          <w:b/>
          <w:i/>
          <w:sz w:val="20"/>
          <w:szCs w:val="20"/>
          <w:lang w:val="en-GB"/>
        </w:rPr>
        <w:t>Proposal 1: If RAN2 time budget is allowed, both RAT-independent positioning methods and RAT-dependent positioning method including ECID-positioning, UL/DL+UL positioning can be specified.</w:t>
      </w:r>
    </w:p>
    <w:p>
      <w:pPr>
        <w:snapToGrid w:val="0"/>
        <w:spacing w:after="0" w:line="240" w:lineRule="auto"/>
        <w:jc w:val="both"/>
        <w:rPr>
          <w:rFonts w:ascii="Times New Roman" w:hAnsi="Times New Roman" w:eastAsia="宋体"/>
          <w:b/>
          <w:i/>
          <w:color w:val="000000"/>
          <w:sz w:val="20"/>
          <w:szCs w:val="20"/>
        </w:rPr>
      </w:pPr>
      <w:r>
        <w:rPr>
          <w:rFonts w:ascii="Times New Roman" w:hAnsi="Times New Roman"/>
          <w:b/>
          <w:i/>
          <w:sz w:val="20"/>
          <w:szCs w:val="20"/>
          <w:lang w:val="en-GB"/>
        </w:rPr>
        <w:t>Proposal 2: Support SRS configuration carried by</w:t>
      </w:r>
    </w:p>
    <w:p>
      <w:pPr>
        <w:pStyle w:val="89"/>
        <w:numPr>
          <w:ilvl w:val="0"/>
          <w:numId w:val="3"/>
        </w:numPr>
        <w:snapToGrid w:val="0"/>
        <w:spacing w:after="0" w:line="240" w:lineRule="auto"/>
        <w:contextualSpacing w:val="0"/>
        <w:jc w:val="both"/>
        <w:rPr>
          <w:b/>
          <w:i/>
          <w:sz w:val="20"/>
          <w:lang w:val="en-GB"/>
        </w:rPr>
      </w:pPr>
      <w:r>
        <w:rPr>
          <w:b/>
          <w:i/>
          <w:color w:val="000000"/>
          <w:sz w:val="20"/>
        </w:rPr>
        <w:t>SDT DL RRC message</w:t>
      </w:r>
    </w:p>
    <w:p>
      <w:pPr>
        <w:pStyle w:val="89"/>
        <w:numPr>
          <w:ilvl w:val="1"/>
          <w:numId w:val="3"/>
        </w:numPr>
        <w:snapToGrid w:val="0"/>
        <w:spacing w:after="0" w:line="240" w:lineRule="auto"/>
        <w:contextualSpacing w:val="0"/>
        <w:jc w:val="both"/>
        <w:rPr>
          <w:b/>
          <w:i/>
          <w:sz w:val="20"/>
          <w:lang w:val="en-GB"/>
        </w:rPr>
      </w:pPr>
      <w:r>
        <w:rPr>
          <w:b/>
          <w:i/>
          <w:sz w:val="20"/>
          <w:lang w:val="en-GB"/>
        </w:rPr>
        <w:t>Message B or 4 can be considered in the case when 2 or 4 step RACH based access is chosen for SDT</w:t>
      </w:r>
    </w:p>
    <w:p>
      <w:pPr>
        <w:pStyle w:val="89"/>
        <w:numPr>
          <w:ilvl w:val="0"/>
          <w:numId w:val="3"/>
        </w:numPr>
        <w:snapToGrid w:val="0"/>
        <w:spacing w:after="0" w:line="240" w:lineRule="auto"/>
        <w:contextualSpacing w:val="0"/>
        <w:jc w:val="both"/>
        <w:rPr>
          <w:b/>
          <w:i/>
          <w:sz w:val="20"/>
          <w:lang w:val="en-GB"/>
        </w:rPr>
      </w:pPr>
      <w:r>
        <w:rPr>
          <w:b/>
          <w:i/>
          <w:sz w:val="20"/>
          <w:lang w:val="en-GB"/>
        </w:rPr>
        <w:t>RRCRelease with SuspendConfig</w:t>
      </w:r>
    </w:p>
    <w:p>
      <w:pPr>
        <w:pStyle w:val="89"/>
        <w:numPr>
          <w:ilvl w:val="0"/>
          <w:numId w:val="3"/>
        </w:numPr>
        <w:snapToGrid w:val="0"/>
        <w:spacing w:after="0" w:line="240" w:lineRule="auto"/>
        <w:contextualSpacing w:val="0"/>
        <w:jc w:val="both"/>
        <w:rPr>
          <w:rFonts w:eastAsiaTheme="minorEastAsia"/>
          <w:b/>
          <w:i/>
          <w:sz w:val="20"/>
          <w:lang w:val="en-GB" w:eastAsia="zh-CN"/>
        </w:rPr>
      </w:pPr>
      <w:r>
        <w:rPr>
          <w:rFonts w:eastAsiaTheme="minorEastAsia"/>
          <w:b/>
          <w:i/>
          <w:sz w:val="20"/>
          <w:lang w:val="en-GB" w:eastAsia="zh-CN"/>
        </w:rPr>
        <w:t>SRS configuration in RRC_CONNECTED</w:t>
      </w:r>
    </w:p>
    <w:p>
      <w:pPr>
        <w:snapToGrid w:val="0"/>
        <w:spacing w:before="180" w:beforeLines="50" w:after="0" w:line="240" w:lineRule="auto"/>
        <w:jc w:val="both"/>
        <w:rPr>
          <w:rFonts w:ascii="Times New Roman" w:hAnsi="Times New Roman"/>
          <w:b/>
          <w:i/>
          <w:sz w:val="20"/>
          <w:szCs w:val="20"/>
          <w:lang w:val="en-GB"/>
        </w:rPr>
      </w:pPr>
      <w:r>
        <w:rPr>
          <w:rFonts w:ascii="Times New Roman" w:hAnsi="Times New Roman"/>
          <w:b/>
          <w:i/>
          <w:sz w:val="20"/>
          <w:szCs w:val="20"/>
          <w:lang w:val="en-GB"/>
        </w:rPr>
        <w:t>Proposal 3: If UL/DL+UL positioning methods are supported in RRC INACTIVE, it should be clarified whether SRS transmission can be allowed outside SDT active period.</w:t>
      </w:r>
    </w:p>
    <w:p>
      <w:pPr>
        <w:snapToGrid w:val="0"/>
        <w:spacing w:before="180" w:beforeLines="50" w:after="0" w:line="240" w:lineRule="auto"/>
        <w:jc w:val="both"/>
        <w:rPr>
          <w:rFonts w:ascii="Times New Roman" w:hAnsi="Times New Roman"/>
          <w:b/>
          <w:i/>
          <w:sz w:val="20"/>
          <w:szCs w:val="20"/>
          <w:lang w:val="en-GB"/>
        </w:rPr>
      </w:pPr>
      <w:r>
        <w:rPr>
          <w:rFonts w:hint="eastAsia" w:ascii="Times New Roman" w:hAnsi="Times New Roman"/>
          <w:b/>
          <w:i/>
          <w:sz w:val="20"/>
          <w:szCs w:val="20"/>
          <w:lang w:val="en-GB"/>
        </w:rPr>
        <w:t>P</w:t>
      </w:r>
      <w:r>
        <w:rPr>
          <w:rFonts w:ascii="Times New Roman" w:hAnsi="Times New Roman"/>
          <w:b/>
          <w:i/>
          <w:sz w:val="20"/>
          <w:szCs w:val="20"/>
          <w:lang w:val="en-GB"/>
        </w:rPr>
        <w:t>roposal 4: Support all location service types from RAN2 perspective including MT-LR, MO-LR, NI-LR and differed MT-LR.</w:t>
      </w:r>
    </w:p>
    <w:p>
      <w:pPr>
        <w:adjustRightInd w:val="0"/>
        <w:snapToGrid w:val="0"/>
        <w:spacing w:before="120" w:after="180" w:afterLines="50" w:line="240" w:lineRule="auto"/>
        <w:jc w:val="both"/>
        <w:rPr>
          <w:rFonts w:ascii="Times New Roman" w:hAnsi="Times New Roman"/>
          <w:sz w:val="20"/>
          <w:szCs w:val="20"/>
          <w:lang w:val="en-GB"/>
        </w:rPr>
      </w:pPr>
    </w:p>
    <w:p>
      <w:pPr>
        <w:pStyle w:val="2"/>
        <w:snapToGrid w:val="0"/>
        <w:spacing w:before="120" w:after="180" w:afterLines="50"/>
        <w:ind w:left="431" w:hanging="431"/>
        <w:jc w:val="both"/>
        <w:rPr>
          <w:sz w:val="28"/>
          <w:lang w:val="en-US"/>
        </w:rPr>
      </w:pPr>
      <w:r>
        <w:rPr>
          <w:rFonts w:hint="eastAsia"/>
          <w:sz w:val="28"/>
          <w:lang w:val="en-US"/>
        </w:rPr>
        <w:t>References</w:t>
      </w:r>
    </w:p>
    <w:p>
      <w:pPr>
        <w:numPr>
          <w:ilvl w:val="0"/>
          <w:numId w:val="5"/>
        </w:numPr>
        <w:snapToGrid w:val="0"/>
        <w:spacing w:after="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#114-e, Online</w:t>
      </w:r>
    </w:p>
    <w:p>
      <w:pPr>
        <w:numPr>
          <w:ilvl w:val="0"/>
          <w:numId w:val="5"/>
        </w:numPr>
        <w:snapToGrid w:val="0"/>
        <w:spacing w:after="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R2-2106447</w:t>
      </w:r>
      <w:r>
        <w:rPr>
          <w:rFonts w:hint="eastAsia" w:ascii="Times New Roman" w:hAnsi="Times New Roman" w:eastAsia="宋体"/>
          <w:sz w:val="20"/>
          <w:szCs w:val="20"/>
          <w:lang w:val="en-GB" w:eastAsia="en-GB"/>
        </w:rPr>
        <w:t xml:space="preserve"> </w:t>
      </w:r>
      <w:r>
        <w:rPr>
          <w:rFonts w:ascii="Times New Roman" w:hAnsi="Times New Roman" w:eastAsia="宋体"/>
          <w:sz w:val="20"/>
          <w:szCs w:val="20"/>
          <w:lang w:val="en-GB" w:eastAsia="en-GB"/>
        </w:rPr>
        <w:t>Summary of AI 8.11.3 for INACTIVE POS Huawei, HiSilicon (Rapporteur of Summary)</w:t>
      </w:r>
    </w:p>
    <w:p>
      <w:pPr>
        <w:snapToGrid w:val="0"/>
        <w:spacing w:after="0" w:line="240" w:lineRule="auto"/>
        <w:jc w:val="both"/>
        <w:rPr>
          <w:rFonts w:ascii="Times New Roman" w:hAnsi="Times New Roman" w:eastAsia="宋体"/>
          <w:sz w:val="20"/>
          <w:szCs w:val="20"/>
          <w:lang w:eastAsia="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8117F4"/>
    <w:multiLevelType w:val="singleLevel"/>
    <w:tmpl w:val="EA8117F4"/>
    <w:lvl w:ilvl="0" w:tentative="0">
      <w:start w:val="1"/>
      <w:numFmt w:val="decimal"/>
      <w:suff w:val="space"/>
      <w:lvlText w:val="[%1]"/>
      <w:lvlJc w:val="left"/>
    </w:lvl>
  </w:abstractNum>
  <w:abstractNum w:abstractNumId="1">
    <w:nsid w:val="006E2F72"/>
    <w:multiLevelType w:val="multilevel"/>
    <w:tmpl w:val="006E2F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4D4B08E3"/>
    <w:multiLevelType w:val="multilevel"/>
    <w:tmpl w:val="4D4B0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7D"/>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814"/>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0CD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BE"/>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DDA"/>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20"/>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A09"/>
    <w:rsid w:val="00087C3F"/>
    <w:rsid w:val="00090126"/>
    <w:rsid w:val="00090408"/>
    <w:rsid w:val="000907F4"/>
    <w:rsid w:val="0009098A"/>
    <w:rsid w:val="00090A6A"/>
    <w:rsid w:val="00091243"/>
    <w:rsid w:val="00091473"/>
    <w:rsid w:val="0009150C"/>
    <w:rsid w:val="00091643"/>
    <w:rsid w:val="000916EF"/>
    <w:rsid w:val="0009173E"/>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94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CA2"/>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3E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37D6F"/>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A12"/>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07"/>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91"/>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93"/>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D3E"/>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B8A"/>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2F8"/>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1BEE"/>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CA9"/>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16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4F7"/>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A1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338"/>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2E9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CE7"/>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B7C8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58"/>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739"/>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5FCA"/>
    <w:rsid w:val="003461F2"/>
    <w:rsid w:val="0034627D"/>
    <w:rsid w:val="003462D4"/>
    <w:rsid w:val="00346384"/>
    <w:rsid w:val="00346407"/>
    <w:rsid w:val="00346D5D"/>
    <w:rsid w:val="00346E1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0B9"/>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E76C6"/>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435"/>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AE1"/>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0C7"/>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C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A36"/>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55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04"/>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0FDF"/>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264"/>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0"/>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A42"/>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A5"/>
    <w:rsid w:val="005826E1"/>
    <w:rsid w:val="00582809"/>
    <w:rsid w:val="00582835"/>
    <w:rsid w:val="00582848"/>
    <w:rsid w:val="00582980"/>
    <w:rsid w:val="00582A83"/>
    <w:rsid w:val="00582F04"/>
    <w:rsid w:val="0058357E"/>
    <w:rsid w:val="005835B6"/>
    <w:rsid w:val="0058399E"/>
    <w:rsid w:val="00583BE5"/>
    <w:rsid w:val="00583D0B"/>
    <w:rsid w:val="00583DB0"/>
    <w:rsid w:val="00583EAC"/>
    <w:rsid w:val="00583F0C"/>
    <w:rsid w:val="00583F89"/>
    <w:rsid w:val="0058427B"/>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A5E"/>
    <w:rsid w:val="00595BAD"/>
    <w:rsid w:val="00595C5E"/>
    <w:rsid w:val="005961BD"/>
    <w:rsid w:val="005967D1"/>
    <w:rsid w:val="00596C72"/>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CF4"/>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427"/>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89"/>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41D"/>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25"/>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86"/>
    <w:rsid w:val="006818D9"/>
    <w:rsid w:val="00681A7F"/>
    <w:rsid w:val="00681B23"/>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5FEA"/>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959"/>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8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1DFF"/>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4F1"/>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7EF"/>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676"/>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40"/>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FE4"/>
    <w:rsid w:val="007311D3"/>
    <w:rsid w:val="007312C3"/>
    <w:rsid w:val="007318AC"/>
    <w:rsid w:val="00731A9B"/>
    <w:rsid w:val="00731AC4"/>
    <w:rsid w:val="00731FE3"/>
    <w:rsid w:val="00732251"/>
    <w:rsid w:val="007324E3"/>
    <w:rsid w:val="007325D6"/>
    <w:rsid w:val="00732A90"/>
    <w:rsid w:val="00733123"/>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EB4"/>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17"/>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A59"/>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00"/>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256"/>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483"/>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0D6F"/>
    <w:rsid w:val="00821173"/>
    <w:rsid w:val="00821224"/>
    <w:rsid w:val="008213F8"/>
    <w:rsid w:val="0082171B"/>
    <w:rsid w:val="0082171E"/>
    <w:rsid w:val="00821843"/>
    <w:rsid w:val="00821A46"/>
    <w:rsid w:val="00821BA4"/>
    <w:rsid w:val="00821CD1"/>
    <w:rsid w:val="008221AF"/>
    <w:rsid w:val="00822364"/>
    <w:rsid w:val="00822B82"/>
    <w:rsid w:val="00822D4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9E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B5"/>
    <w:rsid w:val="008506D9"/>
    <w:rsid w:val="008508E6"/>
    <w:rsid w:val="00850BE3"/>
    <w:rsid w:val="00850C37"/>
    <w:rsid w:val="00850E80"/>
    <w:rsid w:val="008511E6"/>
    <w:rsid w:val="008515B3"/>
    <w:rsid w:val="008515EC"/>
    <w:rsid w:val="0085268F"/>
    <w:rsid w:val="00852758"/>
    <w:rsid w:val="00852A3E"/>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B0C"/>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AA"/>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3D6"/>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CEC"/>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9B1"/>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1FD"/>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E33"/>
    <w:rsid w:val="009D0F2E"/>
    <w:rsid w:val="009D0FFC"/>
    <w:rsid w:val="009D193A"/>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3A0"/>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778"/>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3DB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6D4"/>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26D"/>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3"/>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23"/>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5E64"/>
    <w:rsid w:val="00AC6749"/>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5AA"/>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3FA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6A53"/>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76B"/>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EA9"/>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24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3D"/>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637"/>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563"/>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267"/>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299"/>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5E7D"/>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83B"/>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2BA"/>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5A"/>
    <w:rsid w:val="00D360B4"/>
    <w:rsid w:val="00D36349"/>
    <w:rsid w:val="00D36439"/>
    <w:rsid w:val="00D36450"/>
    <w:rsid w:val="00D3670C"/>
    <w:rsid w:val="00D3684A"/>
    <w:rsid w:val="00D36D65"/>
    <w:rsid w:val="00D37067"/>
    <w:rsid w:val="00D373B5"/>
    <w:rsid w:val="00D374EC"/>
    <w:rsid w:val="00D400CF"/>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771"/>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98A"/>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103"/>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BF3"/>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18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9F2"/>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0F8"/>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E8F"/>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3A"/>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B8"/>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DC7"/>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1FF"/>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6A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71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2F"/>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4"/>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3D"/>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BD3"/>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80D"/>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0C"/>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6628E"/>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861AD"/>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70694"/>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16EF2"/>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2FFF"/>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3789"/>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57EBB"/>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676F1"/>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14C9A"/>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qFormat/>
    <w:uiPriority w:val="0"/>
    <w:pPr>
      <w:spacing w:before="100" w:beforeAutospacing="1" w:after="0" w:line="240" w:lineRule="auto"/>
      <w:ind w:left="720"/>
    </w:pPr>
    <w:rPr>
      <w:rFonts w:eastAsia="宋体"/>
    </w:rPr>
  </w:style>
  <w:style w:type="paragraph" w:customStyle="1" w:styleId="98">
    <w:name w:val="列出段落4"/>
    <w:basedOn w:val="1"/>
    <w:qFormat/>
    <w:uiPriority w:val="0"/>
    <w:pPr>
      <w:spacing w:before="100" w:beforeAutospacing="1" w:after="100" w:afterAutospacing="1" w:line="300" w:lineRule="auto"/>
      <w:ind w:left="1120" w:leftChars="400" w:hanging="720"/>
      <w:jc w:val="both"/>
    </w:pPr>
    <w:rPr>
      <w:rFonts w:ascii="Times" w:hAnsi="Times" w:eastAsia="Batang"/>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70384E-5D5E-4E78-B435-961798DACC7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1724</Words>
  <Characters>9832</Characters>
  <Lines>81</Lines>
  <Paragraphs>23</Paragraphs>
  <TotalTime>94</TotalTime>
  <ScaleCrop>false</ScaleCrop>
  <LinksUpToDate>false</LinksUpToDate>
  <CharactersWithSpaces>11533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2021-07-28T08:23:00Z</dcterms:created>
  <dc:creator>ZTE</dc:creator>
  <cp:lastModifiedBy>panyu</cp:lastModifiedBy>
  <dcterms:modified xsi:type="dcterms:W3CDTF">2021-08-05T08:12:30Z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